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Teaching to the Texts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Williams Obstetrics Chapter 32: The Newborn &amp; Chapter 33: Diseases and Injuries of the Term Newborn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CREOG Educational Objectives</w:t>
      </w:r>
    </w:p>
    <w:p w:rsidR="00000000" w:rsidDel="00000000" w:rsidP="00000000" w:rsidRDefault="00000000" w:rsidRPr="00000000" w14:paraId="00000006">
      <w:pPr>
        <w:numPr>
          <w:ilvl w:val="0"/>
          <w:numId w:val="3"/>
        </w:numPr>
        <w:spacing w:after="0" w:afterAutospacing="0" w:before="240" w:lineRule="auto"/>
        <w:ind w:left="720" w:hanging="360"/>
        <w:rPr/>
      </w:pPr>
      <w:r w:rsidDel="00000000" w:rsidR="00000000" w:rsidRPr="00000000">
        <w:rPr>
          <w:rtl w:val="0"/>
        </w:rPr>
        <w:t xml:space="preserve">Newborn Care</w:t>
      </w:r>
    </w:p>
    <w:p w:rsidR="00000000" w:rsidDel="00000000" w:rsidP="00000000" w:rsidRDefault="00000000" w:rsidRPr="00000000" w14:paraId="00000007">
      <w:pPr>
        <w:numPr>
          <w:ilvl w:val="1"/>
          <w:numId w:val="3"/>
        </w:numPr>
        <w:spacing w:after="0" w:afterAutospacing="0" w:before="0" w:beforeAutospacing="0" w:lineRule="auto"/>
        <w:ind w:left="1440" w:hanging="360"/>
        <w:rPr/>
      </w:pPr>
      <w:r w:rsidDel="00000000" w:rsidR="00000000" w:rsidRPr="00000000">
        <w:rPr>
          <w:rtl w:val="0"/>
        </w:rPr>
        <w:t xml:space="preserve">Perform an immediate assessment of the newborn.</w:t>
      </w:r>
    </w:p>
    <w:p w:rsidR="00000000" w:rsidDel="00000000" w:rsidP="00000000" w:rsidRDefault="00000000" w:rsidRPr="00000000" w14:paraId="00000008">
      <w:pPr>
        <w:numPr>
          <w:ilvl w:val="1"/>
          <w:numId w:val="3"/>
        </w:numPr>
        <w:spacing w:after="0" w:afterAutospacing="0" w:before="0" w:beforeAutospacing="0" w:lineRule="auto"/>
        <w:ind w:left="1440" w:hanging="360"/>
        <w:rPr/>
      </w:pPr>
      <w:r w:rsidDel="00000000" w:rsidR="00000000" w:rsidRPr="00000000">
        <w:rPr>
          <w:rtl w:val="0"/>
        </w:rPr>
        <w:t xml:space="preserve">Resuscitate a depressed neonate.</w:t>
      </w:r>
    </w:p>
    <w:p w:rsidR="00000000" w:rsidDel="00000000" w:rsidP="00000000" w:rsidRDefault="00000000" w:rsidRPr="00000000" w14:paraId="00000009">
      <w:pPr>
        <w:numPr>
          <w:ilvl w:val="1"/>
          <w:numId w:val="3"/>
        </w:numPr>
        <w:spacing w:after="0" w:afterAutospacing="0" w:before="0" w:beforeAutospacing="0" w:lineRule="auto"/>
        <w:ind w:left="1440" w:hanging="360"/>
        <w:rPr/>
      </w:pPr>
      <w:r w:rsidDel="00000000" w:rsidR="00000000" w:rsidRPr="00000000">
        <w:rPr>
          <w:rtl w:val="0"/>
        </w:rPr>
        <w:t xml:space="preserve">Counsel about and obtain cord blood for banking.</w:t>
      </w:r>
    </w:p>
    <w:p w:rsidR="00000000" w:rsidDel="00000000" w:rsidP="00000000" w:rsidRDefault="00000000" w:rsidRPr="00000000" w14:paraId="0000000A">
      <w:pPr>
        <w:numPr>
          <w:ilvl w:val="1"/>
          <w:numId w:val="3"/>
        </w:numPr>
        <w:spacing w:after="0" w:afterAutospacing="0" w:before="0" w:beforeAutospacing="0" w:lineRule="auto"/>
        <w:ind w:left="1440" w:hanging="360"/>
        <w:rPr/>
      </w:pPr>
      <w:r w:rsidDel="00000000" w:rsidR="00000000" w:rsidRPr="00000000">
        <w:rPr>
          <w:rtl w:val="0"/>
        </w:rPr>
        <w:t xml:space="preserve">Assess indications for and interpret umbilical cord blood gas evaluations.</w:t>
      </w:r>
    </w:p>
    <w:p w:rsidR="00000000" w:rsidDel="00000000" w:rsidP="00000000" w:rsidRDefault="00000000" w:rsidRPr="00000000" w14:paraId="0000000B">
      <w:pPr>
        <w:numPr>
          <w:ilvl w:val="1"/>
          <w:numId w:val="3"/>
        </w:numPr>
        <w:spacing w:after="240" w:before="0" w:beforeAutospacing="0" w:lineRule="auto"/>
        <w:ind w:left="1440" w:hanging="360"/>
        <w:rPr/>
      </w:pPr>
      <w:r w:rsidDel="00000000" w:rsidR="00000000" w:rsidRPr="00000000">
        <w:rPr>
          <w:rtl w:val="0"/>
        </w:rPr>
        <w:t xml:space="preserve">Counsel about and perform circumcision pending local practice patterns.</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Practice Questions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numPr>
          <w:ilvl w:val="0"/>
          <w:numId w:val="1"/>
        </w:numPr>
        <w:ind w:left="720" w:hanging="360"/>
        <w:rPr>
          <w:highlight w:val="white"/>
          <w:u w:val="none"/>
        </w:rPr>
      </w:pPr>
      <w:r w:rsidDel="00000000" w:rsidR="00000000" w:rsidRPr="00000000">
        <w:rPr>
          <w:sz w:val="24"/>
          <w:szCs w:val="24"/>
          <w:highlight w:val="white"/>
          <w:rtl w:val="0"/>
        </w:rPr>
        <w:t xml:space="preserve">An 18-year-old G1 woman with an intrauterine pregnancy at 39 weeks' gestation presents to triage and is found to be in spontaneous labor. She has no medical history and has never had surgery. Her pregnancy has been uncomplicated to date. She is admitted and undergoes a normal labor course. You are called for delivery. A shoulder dystocia occurs, which lasts 30 seconds. Neonatal evaluation reveals a brachial plexus injury. Which of the following is TRUE regarding brachial plexus injuries that occur at delivery?</w:t>
      </w:r>
    </w:p>
    <w:p w:rsidR="00000000" w:rsidDel="00000000" w:rsidP="00000000" w:rsidRDefault="00000000" w:rsidRPr="00000000" w14:paraId="0000000F">
      <w:pPr>
        <w:numPr>
          <w:ilvl w:val="1"/>
          <w:numId w:val="1"/>
        </w:numPr>
        <w:ind w:left="1440" w:hanging="360"/>
        <w:rPr>
          <w:sz w:val="24"/>
          <w:szCs w:val="24"/>
          <w:highlight w:val="white"/>
          <w:u w:val="none"/>
        </w:rPr>
      </w:pPr>
      <w:r w:rsidDel="00000000" w:rsidR="00000000" w:rsidRPr="00000000">
        <w:rPr>
          <w:sz w:val="24"/>
          <w:szCs w:val="24"/>
          <w:highlight w:val="white"/>
          <w:rtl w:val="0"/>
        </w:rPr>
        <w:t xml:space="preserve">60% of brachial plexus injuries cause permanent damage</w:t>
      </w:r>
    </w:p>
    <w:p w:rsidR="00000000" w:rsidDel="00000000" w:rsidP="00000000" w:rsidRDefault="00000000" w:rsidRPr="00000000" w14:paraId="00000010">
      <w:pPr>
        <w:numPr>
          <w:ilvl w:val="1"/>
          <w:numId w:val="1"/>
        </w:numPr>
        <w:ind w:left="1440" w:hanging="360"/>
        <w:rPr>
          <w:sz w:val="24"/>
          <w:szCs w:val="24"/>
          <w:highlight w:val="white"/>
          <w:u w:val="none"/>
        </w:rPr>
      </w:pPr>
      <w:r w:rsidDel="00000000" w:rsidR="00000000" w:rsidRPr="00000000">
        <w:rPr>
          <w:sz w:val="24"/>
          <w:szCs w:val="24"/>
          <w:highlight w:val="white"/>
          <w:rtl w:val="0"/>
        </w:rPr>
        <w:t xml:space="preserve">Erb palsy involves damage to C8-T1 nerve roots</w:t>
      </w:r>
    </w:p>
    <w:p w:rsidR="00000000" w:rsidDel="00000000" w:rsidP="00000000" w:rsidRDefault="00000000" w:rsidRPr="00000000" w14:paraId="00000011">
      <w:pPr>
        <w:numPr>
          <w:ilvl w:val="1"/>
          <w:numId w:val="1"/>
        </w:numPr>
        <w:ind w:left="1440" w:hanging="360"/>
        <w:rPr>
          <w:sz w:val="24"/>
          <w:szCs w:val="24"/>
          <w:highlight w:val="white"/>
          <w:u w:val="none"/>
        </w:rPr>
      </w:pPr>
      <w:r w:rsidDel="00000000" w:rsidR="00000000" w:rsidRPr="00000000">
        <w:rPr>
          <w:sz w:val="24"/>
          <w:szCs w:val="24"/>
          <w:highlight w:val="white"/>
          <w:rtl w:val="0"/>
        </w:rPr>
        <w:t xml:space="preserve">Labor induction for LGA reduces the risk of shoulder dystocia</w:t>
      </w:r>
    </w:p>
    <w:p w:rsidR="00000000" w:rsidDel="00000000" w:rsidP="00000000" w:rsidRDefault="00000000" w:rsidRPr="00000000" w14:paraId="00000012">
      <w:pPr>
        <w:numPr>
          <w:ilvl w:val="1"/>
          <w:numId w:val="1"/>
        </w:numPr>
        <w:ind w:left="1440" w:hanging="360"/>
        <w:rPr>
          <w:sz w:val="24"/>
          <w:szCs w:val="24"/>
          <w:highlight w:val="white"/>
          <w:u w:val="none"/>
        </w:rPr>
      </w:pPr>
      <w:r w:rsidDel="00000000" w:rsidR="00000000" w:rsidRPr="00000000">
        <w:rPr>
          <w:sz w:val="24"/>
          <w:szCs w:val="24"/>
          <w:highlight w:val="white"/>
          <w:rtl w:val="0"/>
        </w:rPr>
        <w:t xml:space="preserve">The incidence of brachial plexus injuries after shoulder dystocia is as high as 50%</w:t>
      </w:r>
    </w:p>
    <w:p w:rsidR="00000000" w:rsidDel="00000000" w:rsidP="00000000" w:rsidRDefault="00000000" w:rsidRPr="00000000" w14:paraId="00000013">
      <w:pPr>
        <w:numPr>
          <w:ilvl w:val="1"/>
          <w:numId w:val="1"/>
        </w:numPr>
        <w:ind w:left="1440" w:hanging="360"/>
        <w:rPr>
          <w:sz w:val="24"/>
          <w:szCs w:val="24"/>
          <w:highlight w:val="white"/>
          <w:u w:val="none"/>
        </w:rPr>
      </w:pPr>
      <w:r w:rsidDel="00000000" w:rsidR="00000000" w:rsidRPr="00000000">
        <w:rPr>
          <w:sz w:val="24"/>
          <w:szCs w:val="24"/>
          <w:highlight w:val="white"/>
          <w:rtl w:val="0"/>
        </w:rPr>
        <w:t xml:space="preserve">The incidence of neonatal brachial plexus injuries is 1.5 in 1000 births</w:t>
      </w:r>
    </w:p>
    <w:p w:rsidR="00000000" w:rsidDel="00000000" w:rsidP="00000000" w:rsidRDefault="00000000" w:rsidRPr="00000000" w14:paraId="00000014">
      <w:pPr>
        <w:ind w:left="0" w:firstLine="0"/>
        <w:rPr>
          <w:sz w:val="24"/>
          <w:szCs w:val="24"/>
          <w:highlight w:val="white"/>
        </w:rPr>
      </w:pPr>
      <w:r w:rsidDel="00000000" w:rsidR="00000000" w:rsidRPr="00000000">
        <w:rPr>
          <w:sz w:val="24"/>
          <w:szCs w:val="24"/>
          <w:highlight w:val="white"/>
          <w:rtl w:val="0"/>
        </w:rPr>
        <w:tab/>
        <w:t xml:space="preserve">From: TrueLearn </w:t>
      </w:r>
    </w:p>
    <w:p w:rsidR="00000000" w:rsidDel="00000000" w:rsidP="00000000" w:rsidRDefault="00000000" w:rsidRPr="00000000" w14:paraId="00000015">
      <w:pPr>
        <w:ind w:left="0" w:firstLine="0"/>
        <w:rPr>
          <w:sz w:val="24"/>
          <w:szCs w:val="24"/>
          <w:highlight w:val="white"/>
        </w:rPr>
      </w:pPr>
      <w:r w:rsidDel="00000000" w:rsidR="00000000" w:rsidRPr="00000000">
        <w:rPr>
          <w:rtl w:val="0"/>
        </w:rPr>
      </w:r>
    </w:p>
    <w:p w:rsidR="00000000" w:rsidDel="00000000" w:rsidP="00000000" w:rsidRDefault="00000000" w:rsidRPr="00000000" w14:paraId="00000016">
      <w:pPr>
        <w:numPr>
          <w:ilvl w:val="0"/>
          <w:numId w:val="1"/>
        </w:numPr>
        <w:ind w:left="720" w:hanging="360"/>
        <w:rPr>
          <w:sz w:val="24"/>
          <w:szCs w:val="24"/>
          <w:highlight w:val="white"/>
          <w:u w:val="none"/>
        </w:rPr>
      </w:pPr>
      <w:r w:rsidDel="00000000" w:rsidR="00000000" w:rsidRPr="00000000">
        <w:rPr>
          <w:sz w:val="24"/>
          <w:szCs w:val="24"/>
          <w:highlight w:val="white"/>
          <w:rtl w:val="0"/>
        </w:rPr>
        <w:t xml:space="preserve">A 33-year-old G1P1001 delivered an infant at term. She had Group B </w:t>
      </w:r>
      <w:r w:rsidDel="00000000" w:rsidR="00000000" w:rsidRPr="00000000">
        <w:rPr>
          <w:i w:val="1"/>
          <w:sz w:val="24"/>
          <w:szCs w:val="24"/>
          <w:highlight w:val="white"/>
          <w:rtl w:val="0"/>
        </w:rPr>
        <w:t xml:space="preserve">Streptococcus</w:t>
      </w:r>
      <w:r w:rsidDel="00000000" w:rsidR="00000000" w:rsidRPr="00000000">
        <w:rPr>
          <w:sz w:val="24"/>
          <w:szCs w:val="24"/>
          <w:highlight w:val="white"/>
          <w:rtl w:val="0"/>
        </w:rPr>
        <w:t xml:space="preserve"> bacteriuria during her pregnancy and received adequate intrapartum prophylaxis prior to delivery. She was discharged home after a 2-day hospital stay but now presents 4 weeks later worried that her infant is ill. Which of the following is the MOST common presenting sign or symptom of late-onset Group B </w:t>
      </w:r>
      <w:r w:rsidDel="00000000" w:rsidR="00000000" w:rsidRPr="00000000">
        <w:rPr>
          <w:i w:val="1"/>
          <w:sz w:val="24"/>
          <w:szCs w:val="24"/>
          <w:highlight w:val="white"/>
          <w:rtl w:val="0"/>
        </w:rPr>
        <w:t xml:space="preserve">Streptococcus</w:t>
      </w:r>
      <w:r w:rsidDel="00000000" w:rsidR="00000000" w:rsidRPr="00000000">
        <w:rPr>
          <w:sz w:val="24"/>
          <w:szCs w:val="24"/>
          <w:highlight w:val="white"/>
          <w:rtl w:val="0"/>
        </w:rPr>
        <w:t xml:space="preserve"> infection?</w:t>
      </w:r>
    </w:p>
    <w:p w:rsidR="00000000" w:rsidDel="00000000" w:rsidP="00000000" w:rsidRDefault="00000000" w:rsidRPr="00000000" w14:paraId="00000017">
      <w:pPr>
        <w:numPr>
          <w:ilvl w:val="1"/>
          <w:numId w:val="1"/>
        </w:numPr>
        <w:ind w:left="1440" w:hanging="360"/>
        <w:rPr>
          <w:sz w:val="24"/>
          <w:szCs w:val="24"/>
          <w:highlight w:val="white"/>
          <w:u w:val="none"/>
        </w:rPr>
      </w:pPr>
      <w:r w:rsidDel="00000000" w:rsidR="00000000" w:rsidRPr="00000000">
        <w:rPr>
          <w:sz w:val="24"/>
          <w:szCs w:val="24"/>
          <w:highlight w:val="white"/>
          <w:rtl w:val="0"/>
        </w:rPr>
        <w:t xml:space="preserve">Apnea</w:t>
      </w:r>
    </w:p>
    <w:p w:rsidR="00000000" w:rsidDel="00000000" w:rsidP="00000000" w:rsidRDefault="00000000" w:rsidRPr="00000000" w14:paraId="00000018">
      <w:pPr>
        <w:numPr>
          <w:ilvl w:val="1"/>
          <w:numId w:val="1"/>
        </w:numPr>
        <w:ind w:left="1440" w:hanging="360"/>
        <w:rPr>
          <w:sz w:val="24"/>
          <w:szCs w:val="24"/>
          <w:highlight w:val="white"/>
          <w:u w:val="none"/>
        </w:rPr>
      </w:pPr>
      <w:r w:rsidDel="00000000" w:rsidR="00000000" w:rsidRPr="00000000">
        <w:rPr>
          <w:sz w:val="24"/>
          <w:szCs w:val="24"/>
          <w:highlight w:val="white"/>
          <w:rtl w:val="0"/>
        </w:rPr>
        <w:t xml:space="preserve">Fever</w:t>
      </w:r>
    </w:p>
    <w:p w:rsidR="00000000" w:rsidDel="00000000" w:rsidP="00000000" w:rsidRDefault="00000000" w:rsidRPr="00000000" w14:paraId="00000019">
      <w:pPr>
        <w:numPr>
          <w:ilvl w:val="1"/>
          <w:numId w:val="1"/>
        </w:numPr>
        <w:ind w:left="1440" w:hanging="360"/>
        <w:rPr>
          <w:sz w:val="24"/>
          <w:szCs w:val="24"/>
          <w:highlight w:val="white"/>
          <w:u w:val="none"/>
        </w:rPr>
      </w:pPr>
      <w:r w:rsidDel="00000000" w:rsidR="00000000" w:rsidRPr="00000000">
        <w:rPr>
          <w:sz w:val="24"/>
          <w:szCs w:val="24"/>
          <w:highlight w:val="white"/>
          <w:rtl w:val="0"/>
        </w:rPr>
        <w:t xml:space="preserve">Poor feeding</w:t>
      </w:r>
    </w:p>
    <w:p w:rsidR="00000000" w:rsidDel="00000000" w:rsidP="00000000" w:rsidRDefault="00000000" w:rsidRPr="00000000" w14:paraId="0000001A">
      <w:pPr>
        <w:numPr>
          <w:ilvl w:val="1"/>
          <w:numId w:val="1"/>
        </w:numPr>
        <w:ind w:left="1440" w:hanging="360"/>
        <w:rPr>
          <w:sz w:val="24"/>
          <w:szCs w:val="24"/>
          <w:highlight w:val="white"/>
          <w:u w:val="none"/>
        </w:rPr>
      </w:pPr>
      <w:r w:rsidDel="00000000" w:rsidR="00000000" w:rsidRPr="00000000">
        <w:rPr>
          <w:sz w:val="24"/>
          <w:szCs w:val="24"/>
          <w:highlight w:val="white"/>
          <w:rtl w:val="0"/>
        </w:rPr>
        <w:t xml:space="preserve">Pyelonephritis</w:t>
      </w:r>
    </w:p>
    <w:p w:rsidR="00000000" w:rsidDel="00000000" w:rsidP="00000000" w:rsidRDefault="00000000" w:rsidRPr="00000000" w14:paraId="0000001B">
      <w:pPr>
        <w:numPr>
          <w:ilvl w:val="1"/>
          <w:numId w:val="1"/>
        </w:numPr>
        <w:ind w:left="1440" w:hanging="360"/>
        <w:rPr>
          <w:sz w:val="24"/>
          <w:szCs w:val="24"/>
          <w:highlight w:val="white"/>
          <w:u w:val="none"/>
        </w:rPr>
      </w:pPr>
      <w:r w:rsidDel="00000000" w:rsidR="00000000" w:rsidRPr="00000000">
        <w:rPr>
          <w:sz w:val="24"/>
          <w:szCs w:val="24"/>
          <w:highlight w:val="white"/>
          <w:rtl w:val="0"/>
        </w:rPr>
        <w:t xml:space="preserve">Seizures</w:t>
      </w:r>
    </w:p>
    <w:p w:rsidR="00000000" w:rsidDel="00000000" w:rsidP="00000000" w:rsidRDefault="00000000" w:rsidRPr="00000000" w14:paraId="0000001C">
      <w:pPr>
        <w:ind w:left="0" w:firstLine="0"/>
        <w:rPr>
          <w:sz w:val="24"/>
          <w:szCs w:val="24"/>
          <w:highlight w:val="white"/>
        </w:rPr>
      </w:pPr>
      <w:r w:rsidDel="00000000" w:rsidR="00000000" w:rsidRPr="00000000">
        <w:rPr>
          <w:sz w:val="24"/>
          <w:szCs w:val="24"/>
          <w:highlight w:val="white"/>
          <w:rtl w:val="0"/>
        </w:rPr>
        <w:tab/>
        <w:t xml:space="preserve">From: TrueLearn</w:t>
      </w:r>
    </w:p>
    <w:p w:rsidR="00000000" w:rsidDel="00000000" w:rsidP="00000000" w:rsidRDefault="00000000" w:rsidRPr="00000000" w14:paraId="0000001D">
      <w:pPr>
        <w:ind w:left="0" w:firstLine="0"/>
        <w:rPr>
          <w:sz w:val="24"/>
          <w:szCs w:val="24"/>
          <w:highlight w:val="white"/>
        </w:rPr>
      </w:pPr>
      <w:r w:rsidDel="00000000" w:rsidR="00000000" w:rsidRPr="00000000">
        <w:rPr>
          <w:rtl w:val="0"/>
        </w:rPr>
      </w:r>
    </w:p>
    <w:p w:rsidR="00000000" w:rsidDel="00000000" w:rsidP="00000000" w:rsidRDefault="00000000" w:rsidRPr="00000000" w14:paraId="0000001E">
      <w:pPr>
        <w:numPr>
          <w:ilvl w:val="0"/>
          <w:numId w:val="1"/>
        </w:numPr>
        <w:ind w:left="720" w:hanging="360"/>
        <w:rPr>
          <w:sz w:val="24"/>
          <w:szCs w:val="24"/>
          <w:highlight w:val="white"/>
          <w:u w:val="none"/>
        </w:rPr>
      </w:pPr>
      <w:r w:rsidDel="00000000" w:rsidR="00000000" w:rsidRPr="00000000">
        <w:rPr>
          <w:sz w:val="24"/>
          <w:szCs w:val="24"/>
          <w:highlight w:val="white"/>
          <w:rtl w:val="0"/>
        </w:rPr>
        <w:t xml:space="preserve">A 35-year-old G1 patient presents with an intrauterine pregnancy at 40 weeks' gestation. The patient's medical history is significant for scoliosis and asthma. Her surgical history is significant for a breast augmentation. Her pregnancy has been uncomplicated to date. She presents to triage complaining of contractions and is admitted for labor. As part of the patient's birth plan, she requests delayed umbilical cord clamping. Current evidence suggests that delayed umbilical cord clamping MOST benefits infants born in which of the following situations?</w:t>
      </w:r>
    </w:p>
    <w:p w:rsidR="00000000" w:rsidDel="00000000" w:rsidP="00000000" w:rsidRDefault="00000000" w:rsidRPr="00000000" w14:paraId="0000001F">
      <w:pPr>
        <w:numPr>
          <w:ilvl w:val="1"/>
          <w:numId w:val="1"/>
        </w:numPr>
        <w:ind w:left="1440" w:hanging="360"/>
        <w:rPr>
          <w:sz w:val="24"/>
          <w:szCs w:val="24"/>
          <w:highlight w:val="white"/>
          <w:u w:val="none"/>
        </w:rPr>
      </w:pPr>
      <w:r w:rsidDel="00000000" w:rsidR="00000000" w:rsidRPr="00000000">
        <w:rPr>
          <w:sz w:val="24"/>
          <w:szCs w:val="24"/>
          <w:highlight w:val="white"/>
          <w:rtl w:val="0"/>
        </w:rPr>
        <w:t xml:space="preserve">All vigorous infants regardless of gestational age</w:t>
      </w:r>
    </w:p>
    <w:p w:rsidR="00000000" w:rsidDel="00000000" w:rsidP="00000000" w:rsidRDefault="00000000" w:rsidRPr="00000000" w14:paraId="00000020">
      <w:pPr>
        <w:numPr>
          <w:ilvl w:val="1"/>
          <w:numId w:val="1"/>
        </w:numPr>
        <w:ind w:left="1440" w:hanging="360"/>
        <w:rPr>
          <w:sz w:val="24"/>
          <w:szCs w:val="24"/>
          <w:highlight w:val="white"/>
          <w:u w:val="none"/>
        </w:rPr>
      </w:pPr>
      <w:r w:rsidDel="00000000" w:rsidR="00000000" w:rsidRPr="00000000">
        <w:rPr>
          <w:sz w:val="24"/>
          <w:szCs w:val="24"/>
          <w:highlight w:val="white"/>
          <w:rtl w:val="0"/>
        </w:rPr>
        <w:t xml:space="preserve">35 weeks gestation with severe IUGR and reversed end diastolic flow</w:t>
      </w:r>
    </w:p>
    <w:p w:rsidR="00000000" w:rsidDel="00000000" w:rsidP="00000000" w:rsidRDefault="00000000" w:rsidRPr="00000000" w14:paraId="00000021">
      <w:pPr>
        <w:numPr>
          <w:ilvl w:val="1"/>
          <w:numId w:val="1"/>
        </w:numPr>
        <w:ind w:left="1440" w:hanging="360"/>
        <w:rPr>
          <w:sz w:val="24"/>
          <w:szCs w:val="24"/>
          <w:highlight w:val="white"/>
          <w:u w:val="none"/>
        </w:rPr>
      </w:pPr>
      <w:r w:rsidDel="00000000" w:rsidR="00000000" w:rsidRPr="00000000">
        <w:rPr>
          <w:sz w:val="24"/>
          <w:szCs w:val="24"/>
          <w:highlight w:val="white"/>
          <w:rtl w:val="0"/>
        </w:rPr>
        <w:t xml:space="preserve">38 weeks gestation with placental abruption</w:t>
      </w:r>
    </w:p>
    <w:p w:rsidR="00000000" w:rsidDel="00000000" w:rsidP="00000000" w:rsidRDefault="00000000" w:rsidRPr="00000000" w14:paraId="00000022">
      <w:pPr>
        <w:numPr>
          <w:ilvl w:val="1"/>
          <w:numId w:val="1"/>
        </w:numPr>
        <w:ind w:left="1440" w:hanging="360"/>
        <w:rPr>
          <w:sz w:val="24"/>
          <w:szCs w:val="24"/>
          <w:highlight w:val="white"/>
          <w:u w:val="none"/>
        </w:rPr>
      </w:pPr>
      <w:r w:rsidDel="00000000" w:rsidR="00000000" w:rsidRPr="00000000">
        <w:rPr>
          <w:sz w:val="24"/>
          <w:szCs w:val="24"/>
          <w:highlight w:val="white"/>
          <w:rtl w:val="0"/>
        </w:rPr>
        <w:t xml:space="preserve">39 weeks gestation requiring resuscitation</w:t>
      </w:r>
    </w:p>
    <w:p w:rsidR="00000000" w:rsidDel="00000000" w:rsidP="00000000" w:rsidRDefault="00000000" w:rsidRPr="00000000" w14:paraId="00000023">
      <w:pPr>
        <w:numPr>
          <w:ilvl w:val="1"/>
          <w:numId w:val="1"/>
        </w:numPr>
        <w:ind w:left="1440" w:hanging="360"/>
        <w:rPr>
          <w:sz w:val="24"/>
          <w:szCs w:val="24"/>
          <w:highlight w:val="white"/>
          <w:u w:val="none"/>
        </w:rPr>
      </w:pPr>
      <w:r w:rsidDel="00000000" w:rsidR="00000000" w:rsidRPr="00000000">
        <w:rPr>
          <w:sz w:val="24"/>
          <w:szCs w:val="24"/>
          <w:highlight w:val="white"/>
          <w:rtl w:val="0"/>
        </w:rPr>
        <w:t xml:space="preserve">34 weeks gestation born during maternal eclamptic fit</w:t>
      </w:r>
    </w:p>
    <w:p w:rsidR="00000000" w:rsidDel="00000000" w:rsidP="00000000" w:rsidRDefault="00000000" w:rsidRPr="00000000" w14:paraId="00000024">
      <w:pPr>
        <w:ind w:left="0" w:firstLine="0"/>
        <w:rPr>
          <w:sz w:val="24"/>
          <w:szCs w:val="24"/>
          <w:highlight w:val="white"/>
        </w:rPr>
      </w:pPr>
      <w:r w:rsidDel="00000000" w:rsidR="00000000" w:rsidRPr="00000000">
        <w:rPr>
          <w:sz w:val="24"/>
          <w:szCs w:val="24"/>
          <w:highlight w:val="white"/>
          <w:rtl w:val="0"/>
        </w:rPr>
        <w:tab/>
        <w:t xml:space="preserve">From: TrueLearn</w:t>
      </w:r>
    </w:p>
    <w:p w:rsidR="00000000" w:rsidDel="00000000" w:rsidP="00000000" w:rsidRDefault="00000000" w:rsidRPr="00000000" w14:paraId="00000025">
      <w:pPr>
        <w:ind w:left="0" w:firstLine="0"/>
        <w:rPr>
          <w:sz w:val="24"/>
          <w:szCs w:val="24"/>
          <w:highlight w:val="white"/>
        </w:rPr>
      </w:pPr>
      <w:r w:rsidDel="00000000" w:rsidR="00000000" w:rsidRPr="00000000">
        <w:rPr>
          <w:rtl w:val="0"/>
        </w:rPr>
      </w:r>
    </w:p>
    <w:p w:rsidR="00000000" w:rsidDel="00000000" w:rsidP="00000000" w:rsidRDefault="00000000" w:rsidRPr="00000000" w14:paraId="00000026">
      <w:pPr>
        <w:numPr>
          <w:ilvl w:val="0"/>
          <w:numId w:val="1"/>
        </w:numPr>
        <w:ind w:left="720" w:hanging="360"/>
        <w:rPr>
          <w:sz w:val="24"/>
          <w:szCs w:val="24"/>
          <w:highlight w:val="white"/>
          <w:u w:val="none"/>
        </w:rPr>
      </w:pPr>
      <w:r w:rsidDel="00000000" w:rsidR="00000000" w:rsidRPr="00000000">
        <w:rPr>
          <w:sz w:val="24"/>
          <w:szCs w:val="24"/>
          <w:highlight w:val="white"/>
          <w:rtl w:val="0"/>
        </w:rPr>
        <w:t xml:space="preserve">A physician is covering the labor and delivery service and is notified that a patient has spontaneous rupture of membranes (SROM). Following this, thick meconium is noticed. The labor is otherwise uncomplicated. How should the labor and delivery be managed?</w:t>
      </w:r>
    </w:p>
    <w:p w:rsidR="00000000" w:rsidDel="00000000" w:rsidP="00000000" w:rsidRDefault="00000000" w:rsidRPr="00000000" w14:paraId="00000027">
      <w:pPr>
        <w:numPr>
          <w:ilvl w:val="1"/>
          <w:numId w:val="1"/>
        </w:numPr>
        <w:ind w:left="1440" w:hanging="360"/>
        <w:rPr>
          <w:sz w:val="24"/>
          <w:szCs w:val="24"/>
          <w:highlight w:val="white"/>
          <w:u w:val="none"/>
        </w:rPr>
      </w:pPr>
      <w:r w:rsidDel="00000000" w:rsidR="00000000" w:rsidRPr="00000000">
        <w:rPr>
          <w:sz w:val="24"/>
          <w:szCs w:val="24"/>
          <w:highlight w:val="white"/>
          <w:rtl w:val="0"/>
        </w:rPr>
        <w:t xml:space="preserve">Begin an amnioinfusion and notify the pediatrician to attend the delivery</w:t>
      </w:r>
    </w:p>
    <w:p w:rsidR="00000000" w:rsidDel="00000000" w:rsidP="00000000" w:rsidRDefault="00000000" w:rsidRPr="00000000" w14:paraId="00000028">
      <w:pPr>
        <w:numPr>
          <w:ilvl w:val="1"/>
          <w:numId w:val="1"/>
        </w:numPr>
        <w:ind w:left="1440" w:hanging="360"/>
        <w:rPr>
          <w:sz w:val="24"/>
          <w:szCs w:val="24"/>
          <w:highlight w:val="white"/>
        </w:rPr>
      </w:pPr>
      <w:r w:rsidDel="00000000" w:rsidR="00000000" w:rsidRPr="00000000">
        <w:rPr>
          <w:sz w:val="24"/>
          <w:szCs w:val="24"/>
          <w:highlight w:val="white"/>
          <w:rtl w:val="0"/>
        </w:rPr>
        <w:t xml:space="preserve">Begin an amnioinfusion, notify the pediatrician to attend the delivery, and bulb suction the neonate</w:t>
      </w:r>
    </w:p>
    <w:p w:rsidR="00000000" w:rsidDel="00000000" w:rsidP="00000000" w:rsidRDefault="00000000" w:rsidRPr="00000000" w14:paraId="00000029">
      <w:pPr>
        <w:numPr>
          <w:ilvl w:val="1"/>
          <w:numId w:val="1"/>
        </w:numPr>
        <w:ind w:left="1440" w:hanging="360"/>
        <w:rPr>
          <w:sz w:val="24"/>
          <w:szCs w:val="24"/>
          <w:highlight w:val="white"/>
          <w:u w:val="none"/>
        </w:rPr>
      </w:pPr>
      <w:r w:rsidDel="00000000" w:rsidR="00000000" w:rsidRPr="00000000">
        <w:rPr>
          <w:sz w:val="24"/>
          <w:szCs w:val="24"/>
          <w:highlight w:val="white"/>
          <w:rtl w:val="0"/>
        </w:rPr>
        <w:t xml:space="preserve">Bulb suction the neonate</w:t>
      </w:r>
    </w:p>
    <w:p w:rsidR="00000000" w:rsidDel="00000000" w:rsidP="00000000" w:rsidRDefault="00000000" w:rsidRPr="00000000" w14:paraId="0000002A">
      <w:pPr>
        <w:numPr>
          <w:ilvl w:val="1"/>
          <w:numId w:val="1"/>
        </w:numPr>
        <w:ind w:left="1440" w:hanging="360"/>
        <w:rPr>
          <w:sz w:val="24"/>
          <w:szCs w:val="24"/>
          <w:highlight w:val="white"/>
          <w:u w:val="none"/>
        </w:rPr>
      </w:pPr>
      <w:r w:rsidDel="00000000" w:rsidR="00000000" w:rsidRPr="00000000">
        <w:rPr>
          <w:sz w:val="24"/>
          <w:szCs w:val="24"/>
          <w:highlight w:val="white"/>
          <w:rtl w:val="0"/>
        </w:rPr>
        <w:t xml:space="preserve">Notify the pediatrician to attend delivery</w:t>
      </w:r>
    </w:p>
    <w:p w:rsidR="00000000" w:rsidDel="00000000" w:rsidP="00000000" w:rsidRDefault="00000000" w:rsidRPr="00000000" w14:paraId="0000002B">
      <w:pPr>
        <w:numPr>
          <w:ilvl w:val="1"/>
          <w:numId w:val="1"/>
        </w:numPr>
        <w:ind w:left="1440" w:hanging="360"/>
        <w:rPr>
          <w:sz w:val="24"/>
          <w:szCs w:val="24"/>
          <w:highlight w:val="white"/>
        </w:rPr>
      </w:pPr>
      <w:r w:rsidDel="00000000" w:rsidR="00000000" w:rsidRPr="00000000">
        <w:rPr>
          <w:sz w:val="24"/>
          <w:szCs w:val="24"/>
          <w:highlight w:val="white"/>
          <w:rtl w:val="0"/>
        </w:rPr>
        <w:t xml:space="preserve">Notify the pediatrician to attend the delivery and bulb suction the neonate</w:t>
      </w:r>
    </w:p>
    <w:p w:rsidR="00000000" w:rsidDel="00000000" w:rsidP="00000000" w:rsidRDefault="00000000" w:rsidRPr="00000000" w14:paraId="0000002C">
      <w:pPr>
        <w:ind w:left="0" w:firstLine="0"/>
        <w:rPr>
          <w:sz w:val="24"/>
          <w:szCs w:val="24"/>
          <w:highlight w:val="white"/>
        </w:rPr>
      </w:pPr>
      <w:r w:rsidDel="00000000" w:rsidR="00000000" w:rsidRPr="00000000">
        <w:rPr>
          <w:sz w:val="24"/>
          <w:szCs w:val="24"/>
          <w:highlight w:val="white"/>
          <w:rtl w:val="0"/>
        </w:rPr>
        <w:tab/>
        <w:t xml:space="preserve">From: TrueLearn</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High-Yield Associated Resources</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numPr>
          <w:ilvl w:val="0"/>
          <w:numId w:val="2"/>
        </w:numPr>
        <w:ind w:left="720" w:hanging="360"/>
      </w:pPr>
      <w:r w:rsidDel="00000000" w:rsidR="00000000" w:rsidRPr="00000000">
        <w:rPr>
          <w:rtl w:val="0"/>
        </w:rPr>
        <w:t xml:space="preserve">UpToDate: </w:t>
      </w:r>
      <w:hyperlink r:id="rId6">
        <w:r w:rsidDel="00000000" w:rsidR="00000000" w:rsidRPr="00000000">
          <w:rPr>
            <w:color w:val="1155cc"/>
            <w:u w:val="single"/>
            <w:rtl w:val="0"/>
          </w:rPr>
          <w:t xml:space="preserve">Overview of the routine management of the healthy newborn infant</w:t>
        </w:r>
      </w:hyperlink>
      <w:r w:rsidDel="00000000" w:rsidR="00000000" w:rsidRPr="00000000">
        <w:rPr>
          <w:rtl w:val="0"/>
        </w:rPr>
      </w:r>
    </w:p>
    <w:p w:rsidR="00000000" w:rsidDel="00000000" w:rsidP="00000000" w:rsidRDefault="00000000" w:rsidRPr="00000000" w14:paraId="00000032">
      <w:pPr>
        <w:numPr>
          <w:ilvl w:val="0"/>
          <w:numId w:val="2"/>
        </w:numPr>
        <w:ind w:left="720" w:hanging="360"/>
        <w:rPr>
          <w:u w:val="none"/>
        </w:rPr>
      </w:pPr>
      <w:r w:rsidDel="00000000" w:rsidR="00000000" w:rsidRPr="00000000">
        <w:rPr>
          <w:rtl w:val="0"/>
        </w:rPr>
        <w:t xml:space="preserve">ACOG Committee Opinion 689: </w:t>
      </w:r>
      <w:hyperlink r:id="rId7">
        <w:r w:rsidDel="00000000" w:rsidR="00000000" w:rsidRPr="00000000">
          <w:rPr>
            <w:color w:val="1155cc"/>
            <w:u w:val="single"/>
            <w:rtl w:val="0"/>
          </w:rPr>
          <w:t xml:space="preserve">Delivery of a Newborn With Meconium-Stained Amniotic Fluid</w:t>
        </w:r>
      </w:hyperlink>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Question answers: 1-e, 2-b, 3-a, 4-d</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drawing>
          <wp:inline distB="114300" distT="114300" distL="114300" distR="114300">
            <wp:extent cx="4105275" cy="7400925"/>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4105275" cy="7400925"/>
                    </a:xfrm>
                    <a:prstGeom prst="rect"/>
                    <a:ln/>
                  </pic:spPr>
                </pic:pic>
              </a:graphicData>
            </a:graphic>
          </wp:inline>
        </w:drawing>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uptodate.com/contents/overview-of-the-routine-management-of-the-healthy-newborn-infant?search=newborn+care&amp;source=search_result&amp;selectedTitle=1%7E150&amp;usage_type=default&amp;display_rank=1" TargetMode="External"/><Relationship Id="rId7" Type="http://schemas.openxmlformats.org/officeDocument/2006/relationships/hyperlink" Target="https://www.acog.org/clinical/clinical-guidance/committee-opinion/articles/2017/03/delivery-of-a-newborn-with-meconium-stained-amniotic-fluid"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